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SR2 2025 31 vom 22. Juli 2025</w:t>
      </w:r>
    </w:p>
    <w:p>
      <w:r>
        <w:t>GR Gerichte, 2025-07-22, DE</w:t>
      </w:r>
    </w:p>
    <w:p>
      <w:r>
        <w:rPr>
          <w:b/>
        </w:rPr>
        <w:t xml:space="preserve">Quelle: </w:t>
      </w:r>
      <w:r>
        <w:t>https://mcp.opencaselaw.ch/entscheid/gr_gerichte_SR2 2025 31</w:t>
      </w:r>
    </w:p>
    <w:p>
      <w:r>
        <w:t>FR: GR_GERICHTE SR2 2025 31 du 22 juillet 2025</w:t>
      </w:r>
    </w:p>
    <w:p>
      <w:r>
        <w:t>IT: GR_GERICHTE SR2 2025 31 del 22 luglio 2025</w:t>
      </w:r>
    </w:p>
    <w:p>
      <w:pPr>
        <w:pStyle w:val="Heading2"/>
      </w:pPr>
      <w:r>
        <w:t>Regeste</w:t>
      </w:r>
    </w:p>
    <w:p>
      <w:r>
        <w:t>Rechtsverzögerung | Beschwerde gegen StA, Übrige Fälle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393 Abs. 1 lit. a StPO in Verbindung mit Art. 22 EGzStPO (BR 350.100) kann gegen Verfügungen und Verfahrenshandlungen der Polizei, der Staatsanwaltschaft und der Übertretungsstrafbehörden Beschwerde beim Oberge- richt geführt werden. Unter "Verfahrenshandlung" ist jede hoheitliche, d.h. gegen aussen wirksame Handlung (oder Unterlassung) der Strafverfolgungsbehörde zu verstehen, welche – ohne die Form einer Verfügung zu kleiden – auf den Verfah- rensgang (d.h. die Einleitung, die Durchführung oder den Abschluss des Verfah- rens) gerichtet ist und einer prozessrechtlichen Regelung unterliegt (vgl. GUIDON, in: Niggli/Heer/Wiprächtiger [Hrsg.], Basler Kommentar, Schweizerische Strafprozess- ordnung, 3. Aufl. 2023, Art. 393 N. 6; Urteil des Bundesstrafgerichts BB.2021.203 vom 30. März 2022 E. 1.1). Die Beurteilung fällt in die Zuständigkeit der Zweiten</w:t>
      </w:r>
    </w:p>
    <w:p>
      <w:r>
        <w:rPr>
          <w:b/>
        </w:rPr>
        <w:t>E. 3</w:t>
      </w:r>
    </w:p>
    <w:p>
      <w:r>
        <w:t>Der Abschreibungsentscheid erfolgt in einzelrichterlicher Kompetenz durch den Vorsitzenden (Art. 9 Abs. 2 GOG [BR 173.000] i.V.m. Art. 17 Abs. 1 OGV). 4.1. Ein Rückzug des Rechtsmittels gilt als prozessuales Unterliegen (vgl. Art. 428 Abs. 1 Satz 2 StPO), weshalb die Beschwerdeführer grundsätzlich kostenpflich- tig sind. Auf die Erhebung von Gerichtskosten kann vorliegend jedoch ausnahms- weise verzichtet werden (vgl. Art. 11 Abs. 1 VGS [BR 350.210]). Den Beschwerde- führern wird die Sicherheitsleistung in der Höhe von CHF 2'000.00 durch das Ober- gericht zurückerstattet. 4.2. Entschädigungen sind im vorliegenden Verfahren keine zu sprechen.</w:t>
      </w:r>
    </w:p>
    <w:p>
      <w:r>
        <w:rPr>
          <w:b/>
        </w:rPr>
        <w:t>E. 4</w:t>
      </w:r>
    </w:p>
    <w:p>
      <w:r>
        <w:t>/ 4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